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before="480" w:lineRule="auto"/>
        <w:rPr/>
      </w:pPr>
      <w:bookmarkStart w:colFirst="0" w:colLast="0" w:name="_h1w5so357ysl" w:id="0"/>
      <w:bookmarkEnd w:id="0"/>
      <w:r w:rsidDel="00000000" w:rsidR="00000000" w:rsidRPr="00000000">
        <w:rPr>
          <w:rtl w:val="0"/>
        </w:rPr>
        <w:t xml:space="preserve">ENVIRONMENTAL AND NOISE MITIGATION STRATEGIES</w:t>
      </w:r>
    </w:p>
    <w:p w:rsidR="00000000" w:rsidDel="00000000" w:rsidP="00000000" w:rsidRDefault="00000000" w:rsidRPr="00000000" w14:paraId="00000002">
      <w:pPr>
        <w:pStyle w:val="Heading1"/>
        <w:keepNext w:val="0"/>
        <w:keepLines w:val="0"/>
        <w:rPr/>
      </w:pPr>
      <w:bookmarkStart w:colFirst="0" w:colLast="0" w:name="_jun78lq51xkc" w:id="1"/>
      <w:bookmarkEnd w:id="1"/>
      <w:r w:rsidDel="00000000" w:rsidR="00000000" w:rsidRPr="00000000">
        <w:rPr>
          <w:rtl w:val="0"/>
        </w:rPr>
        <w:t xml:space="preserve">Planning Considerations for Airports, Vertiports, and Emerging Aviation Infrastructure</w:t>
      </w:r>
    </w:p>
    <w:p w:rsidR="00000000" w:rsidDel="00000000" w:rsidP="00000000" w:rsidRDefault="00000000" w:rsidRPr="00000000" w14:paraId="00000003">
      <w:pPr>
        <w:pStyle w:val="Heading2"/>
        <w:keepNext w:val="0"/>
        <w:keepLines w:val="0"/>
        <w:spacing w:before="280" w:lineRule="auto"/>
        <w:rPr/>
      </w:pPr>
      <w:bookmarkStart w:colFirst="0" w:colLast="0" w:name="_75gh7rydct8n" w:id="2"/>
      <w:bookmarkEnd w:id="2"/>
      <w:r w:rsidDel="00000000" w:rsidR="00000000" w:rsidRPr="00000000">
        <w:rPr>
          <w:rtl w:val="0"/>
        </w:rPr>
        <w:t xml:space="preserve">Introduction</w:t>
      </w:r>
    </w:p>
    <w:p w:rsidR="00000000" w:rsidDel="00000000" w:rsidP="00000000" w:rsidRDefault="00000000" w:rsidRPr="00000000" w14:paraId="00000004">
      <w:pPr>
        <w:rPr/>
      </w:pPr>
      <w:r w:rsidDel="00000000" w:rsidR="00000000" w:rsidRPr="00000000">
        <w:rPr>
          <w:rtl w:val="0"/>
        </w:rPr>
        <w:t xml:space="preserve">Environmental and noise concerns are among the most common issues raised when communities discuss airports, heliports, vertiports, drone facilities, or other aviation infrastructure. These concerns are not unique to Advanced Air Mobility (AAM). Communities have grappled with questions related to aircraft noise, overflights, land use compatibility, environmental impacts, and quality of life for decades. What is changing is the potential for aviation activity to occur in new locations, involve new technologies, and affect communities that may have little previous experience with aviation operations.</w:t>
      </w:r>
    </w:p>
    <w:p w:rsidR="00000000" w:rsidDel="00000000" w:rsidP="00000000" w:rsidRDefault="00000000" w:rsidRPr="00000000" w14:paraId="00000005">
      <w:pPr>
        <w:spacing w:after="240" w:before="240" w:lineRule="auto"/>
        <w:rPr/>
      </w:pPr>
      <w:r w:rsidDel="00000000" w:rsidR="00000000" w:rsidRPr="00000000">
        <w:rPr>
          <w:rtl w:val="0"/>
        </w:rPr>
        <w:t xml:space="preserve">Noise often receives the greatest attention, but it is only one part of a broader conversation. Communities may also raise concerns regarding wildlife hazards, wetlands, stormwater management, visual impacts, privacy, environmental justice, electrical infrastructure, battery safety, and broader questions about how aviation facilities fit into the surrounding environment.</w:t>
      </w:r>
    </w:p>
    <w:p w:rsidR="00000000" w:rsidDel="00000000" w:rsidP="00000000" w:rsidRDefault="00000000" w:rsidRPr="00000000" w14:paraId="00000006">
      <w:pPr>
        <w:spacing w:after="240" w:before="240" w:lineRule="auto"/>
        <w:rPr/>
      </w:pPr>
      <w:r w:rsidDel="00000000" w:rsidR="00000000" w:rsidRPr="00000000">
        <w:rPr>
          <w:rtl w:val="0"/>
        </w:rPr>
        <w:t xml:space="preserve">The purpose of this brief is to provide local governments, airport sponsors, and community leaders with an overview of common environmental and noise considerations, practical mitigation strategies, and important limitations that affect how these issues are addressed.</w:t>
      </w:r>
    </w:p>
    <w:p w:rsidR="00000000" w:rsidDel="00000000" w:rsidP="00000000" w:rsidRDefault="00000000" w:rsidRPr="00000000" w14:paraId="00000007">
      <w:pPr>
        <w:pStyle w:val="Heading2"/>
        <w:rPr/>
      </w:pPr>
      <w:bookmarkStart w:colFirst="0" w:colLast="0" w:name="_n60ymf6cs6p3" w:id="3"/>
      <w:bookmarkEnd w:id="3"/>
      <w:r w:rsidDel="00000000" w:rsidR="00000000" w:rsidRPr="00000000">
        <w:rPr>
          <w:rtl w:val="0"/>
        </w:rPr>
        <w:t xml:space="preserve">Noise and Community Compatibility</w:t>
      </w:r>
    </w:p>
    <w:p w:rsidR="00000000" w:rsidDel="00000000" w:rsidP="00000000" w:rsidRDefault="00000000" w:rsidRPr="00000000" w14:paraId="00000008">
      <w:pPr>
        <w:rPr/>
      </w:pPr>
      <w:r w:rsidDel="00000000" w:rsidR="00000000" w:rsidRPr="00000000">
        <w:rPr>
          <w:rtl w:val="0"/>
        </w:rPr>
        <w:t xml:space="preserve">Aircraft noise remains one of the most visible and persistent community concerns associated with aviation infrastructure. The Federal Aviation Administration (FAA) recognizes that aircraft noise continues to be a significant quality-of-life issue for many communities, including those located outside traditional airport noise contours (FAA 2023).</w:t>
      </w:r>
    </w:p>
    <w:p w:rsidR="00000000" w:rsidDel="00000000" w:rsidP="00000000" w:rsidRDefault="00000000" w:rsidRPr="00000000" w14:paraId="00000009">
      <w:pPr>
        <w:spacing w:after="240" w:before="240" w:lineRule="auto"/>
        <w:rPr/>
      </w:pPr>
      <w:r w:rsidDel="00000000" w:rsidR="00000000" w:rsidRPr="00000000">
        <w:rPr>
          <w:rtl w:val="0"/>
        </w:rPr>
        <w:t xml:space="preserve">Historically, airport noise compatibility planning has relied heavily on the Day-Night Average Sound Level (DNL) metric. DNL averages aircraft noise exposure over a 24-hour period and includes an additional weighting factor for nighttime operations. DNL remains the primary metric used in Part 150 Airport Noise Compatibility Planning and many federal airport planning processes (14 CFR Part 150 2026).</w:t>
      </w:r>
    </w:p>
    <w:p w:rsidR="00000000" w:rsidDel="00000000" w:rsidP="00000000" w:rsidRDefault="00000000" w:rsidRPr="00000000" w14:paraId="0000000A">
      <w:pPr>
        <w:spacing w:after="240" w:before="240" w:lineRule="auto"/>
        <w:rPr/>
      </w:pPr>
      <w:r w:rsidDel="00000000" w:rsidR="00000000" w:rsidRPr="00000000">
        <w:rPr>
          <w:rtl w:val="0"/>
        </w:rPr>
        <w:t xml:space="preserve">However, FAA research and recent Government Accountability Office (GAO) reviews have identified important limitations in relying exclusively on DNL when communicating noise impacts to the public. The same DNL value may represent very different community experiences depending on the number of operations, timing of flights, concentration of flight paths, and frequency of overflights (FAA 2023; GAO 2021).</w:t>
      </w:r>
    </w:p>
    <w:p w:rsidR="00000000" w:rsidDel="00000000" w:rsidP="00000000" w:rsidRDefault="00000000" w:rsidRPr="00000000" w14:paraId="0000000B">
      <w:pPr>
        <w:spacing w:after="240" w:before="240" w:lineRule="auto"/>
        <w:rPr/>
      </w:pPr>
      <w:r w:rsidDel="00000000" w:rsidR="00000000" w:rsidRPr="00000000">
        <w:rPr>
          <w:rtl w:val="0"/>
        </w:rPr>
        <w:t xml:space="preserve">The FAA’s Neighborhood Environmental Survey found that residents report significantly higher levels of annoyance at given noise levels than historical studies suggested (FAA 2021). As a result, the FAA has been evaluating supplemental metrics that may better communicate what communities actually experience, including measures such as the number of flights exceeding a specified noise threshold and the amount of time noise remains above certain levels (FAA 2023; GAO 2021).</w:t>
      </w:r>
    </w:p>
    <w:p w:rsidR="00000000" w:rsidDel="00000000" w:rsidP="00000000" w:rsidRDefault="00000000" w:rsidRPr="00000000" w14:paraId="0000000C">
      <w:pPr>
        <w:spacing w:after="240" w:before="240" w:lineRule="auto"/>
        <w:rPr/>
      </w:pPr>
      <w:r w:rsidDel="00000000" w:rsidR="00000000" w:rsidRPr="00000000">
        <w:rPr>
          <w:rtl w:val="0"/>
        </w:rPr>
        <w:t xml:space="preserve">For communities evaluating AAM proposals, this distinction is important. Even if future aircraft are quieter than traditional helicopters or fixed-wing aircraft, frequent operations along concentrated routes may still generate substantial community concern. Noise perception is influenced by frequency, predictability, visibility, and context as much as by measured sound levels.</w:t>
      </w:r>
    </w:p>
    <w:p w:rsidR="00000000" w:rsidDel="00000000" w:rsidP="00000000" w:rsidRDefault="00000000" w:rsidRPr="00000000" w14:paraId="0000000D">
      <w:pPr>
        <w:spacing w:after="240" w:before="240" w:lineRule="auto"/>
        <w:rPr/>
      </w:pPr>
      <w:r w:rsidDel="00000000" w:rsidR="00000000" w:rsidRPr="00000000">
        <w:rPr>
          <w:rtl w:val="0"/>
        </w:rPr>
        <w:t xml:space="preserve">Compatibility planning should therefore consider not only whether a project meets regulatory thresholds, but also how aviation activity may affect the daily experience of nearby residents, businesses, schools, parks, and other community assets (National Academies 2019).</w:t>
      </w:r>
    </w:p>
    <w:p w:rsidR="00000000" w:rsidDel="00000000" w:rsidP="00000000" w:rsidRDefault="00000000" w:rsidRPr="00000000" w14:paraId="0000000E">
      <w:pPr>
        <w:pStyle w:val="Heading2"/>
        <w:rPr/>
      </w:pPr>
      <w:bookmarkStart w:colFirst="0" w:colLast="0" w:name="_uqsunacy9wy6" w:id="4"/>
      <w:bookmarkEnd w:id="4"/>
      <w:r w:rsidDel="00000000" w:rsidR="00000000" w:rsidRPr="00000000">
        <w:rPr>
          <w:rtl w:val="0"/>
        </w:rPr>
        <w:t xml:space="preserve">Mitigation Authority and Practical Constraints</w:t>
      </w:r>
    </w:p>
    <w:p w:rsidR="00000000" w:rsidDel="00000000" w:rsidP="00000000" w:rsidRDefault="00000000" w:rsidRPr="00000000" w14:paraId="0000000F">
      <w:pPr>
        <w:rPr/>
      </w:pPr>
      <w:r w:rsidDel="00000000" w:rsidR="00000000" w:rsidRPr="00000000">
        <w:rPr>
          <w:rtl w:val="0"/>
        </w:rPr>
        <w:t xml:space="preserve">Communities often assume that airports can simply restrict noisy operations if concerns arise. In practice, the tools available to address noise vary significantly depending on facility ownership, federal obligations, and applicable regulations.</w:t>
      </w:r>
    </w:p>
    <w:p w:rsidR="00000000" w:rsidDel="00000000" w:rsidP="00000000" w:rsidRDefault="00000000" w:rsidRPr="00000000" w14:paraId="00000010">
      <w:pPr>
        <w:spacing w:after="240" w:before="240" w:lineRule="auto"/>
        <w:rPr/>
      </w:pPr>
      <w:r w:rsidDel="00000000" w:rsidR="00000000" w:rsidRPr="00000000">
        <w:rPr>
          <w:rtl w:val="0"/>
        </w:rPr>
        <w:t xml:space="preserve">For public airports participating in the Airport Improvement Program (AIP), federal grant obligations play an important role. Airport sponsors accepting federal funding agree to a series of grant assurances that influence airport management and land use compatibility responsibilities. Among these obligations is a commitment to take reasonable action, including zoning where appropriate, to encourage compatible land uses near the airport (FAA 2025).</w:t>
      </w:r>
    </w:p>
    <w:p w:rsidR="00000000" w:rsidDel="00000000" w:rsidP="00000000" w:rsidRDefault="00000000" w:rsidRPr="00000000" w14:paraId="00000011">
      <w:pPr>
        <w:spacing w:after="240" w:before="240" w:lineRule="auto"/>
        <w:rPr/>
      </w:pPr>
      <w:r w:rsidDel="00000000" w:rsidR="00000000" w:rsidRPr="00000000">
        <w:rPr>
          <w:rtl w:val="0"/>
        </w:rPr>
        <w:t xml:space="preserve">Part 150 provides a voluntary process through which airport sponsors may develop Noise Compatibility Programs and seek federal support for eligible mitigation measures. However, approval of a Noise Compatibility Program does not guarantee federal funding, nor does it authorize restrictions on aircraft operations (14 CFR Part 150 2026).</w:t>
      </w:r>
    </w:p>
    <w:p w:rsidR="00000000" w:rsidDel="00000000" w:rsidP="00000000" w:rsidRDefault="00000000" w:rsidRPr="00000000" w14:paraId="00000012">
      <w:pPr>
        <w:spacing w:after="240" w:before="240" w:lineRule="auto"/>
        <w:rPr/>
      </w:pPr>
      <w:r w:rsidDel="00000000" w:rsidR="00000000" w:rsidRPr="00000000">
        <w:rPr>
          <w:rtl w:val="0"/>
        </w:rPr>
        <w:t xml:space="preserve">Part 161 establishes the process required for public airports seeking to implement aircraft noise or access restrictions. These requirements are intentionally rigorous and often involve extensive technical analysis and public review. As a result, operational restrictions at federally obligated public airports are generally difficult to implement and sustain (14 CFR Part 161 2026).</w:t>
      </w:r>
    </w:p>
    <w:p w:rsidR="00000000" w:rsidDel="00000000" w:rsidP="00000000" w:rsidRDefault="00000000" w:rsidRPr="00000000" w14:paraId="00000013">
      <w:pPr>
        <w:spacing w:after="240" w:before="240" w:lineRule="auto"/>
        <w:rPr/>
      </w:pPr>
      <w:r w:rsidDel="00000000" w:rsidR="00000000" w:rsidRPr="00000000">
        <w:rPr>
          <w:rtl w:val="0"/>
        </w:rPr>
        <w:t xml:space="preserve">Private facilities may operate under different circumstances. A private vertiport, heliport, or aviation facility that is not subject to federal grant obligations may have greater flexibility to establish operational conditions through local permitting processes. In some cases, conditional use permits can provide useful tools for addressing community concerns through operating hours, site design requirements, buffering, lighting controls, or other locally enforceable conditions.</w:t>
      </w:r>
    </w:p>
    <w:p w:rsidR="00000000" w:rsidDel="00000000" w:rsidP="00000000" w:rsidRDefault="00000000" w:rsidRPr="00000000" w14:paraId="00000014">
      <w:pPr>
        <w:spacing w:after="240" w:before="240" w:lineRule="auto"/>
        <w:rPr/>
      </w:pPr>
      <w:r w:rsidDel="00000000" w:rsidR="00000000" w:rsidRPr="00000000">
        <w:rPr>
          <w:rtl w:val="0"/>
        </w:rPr>
        <w:t xml:space="preserve">However, permit conditions are only effective when they are measurable, monitorable, and enforceable. Conditions that cannot realistically be tracked or enforced may create unrealistic expectations for both facility operators and surrounding communities.</w:t>
      </w:r>
    </w:p>
    <w:p w:rsidR="00000000" w:rsidDel="00000000" w:rsidP="00000000" w:rsidRDefault="00000000" w:rsidRPr="00000000" w14:paraId="00000015">
      <w:pPr>
        <w:spacing w:after="240" w:before="240" w:lineRule="auto"/>
        <w:rPr/>
      </w:pPr>
      <w:r w:rsidDel="00000000" w:rsidR="00000000" w:rsidRPr="00000000">
        <w:rPr>
          <w:rtl w:val="0"/>
        </w:rPr>
        <w:t xml:space="preserve">The practical lesson is straightforward: communities should understand both the opportunities and limitations of available mitigation tools before assuming that future operational restrictions will be easy to implement.</w:t>
      </w:r>
    </w:p>
    <w:p w:rsidR="00000000" w:rsidDel="00000000" w:rsidP="00000000" w:rsidRDefault="00000000" w:rsidRPr="00000000" w14:paraId="00000016">
      <w:pPr>
        <w:pStyle w:val="Heading2"/>
        <w:rPr/>
      </w:pPr>
      <w:bookmarkStart w:colFirst="0" w:colLast="0" w:name="_7ybd6f22oacb" w:id="5"/>
      <w:bookmarkEnd w:id="5"/>
      <w:r w:rsidDel="00000000" w:rsidR="00000000" w:rsidRPr="00000000">
        <w:rPr>
          <w:rtl w:val="0"/>
        </w:rPr>
        <w:t xml:space="preserve">Environmental Considerations Beyond Noise</w:t>
      </w:r>
    </w:p>
    <w:p w:rsidR="00000000" w:rsidDel="00000000" w:rsidP="00000000" w:rsidRDefault="00000000" w:rsidRPr="00000000" w14:paraId="00000017">
      <w:pPr>
        <w:rPr/>
      </w:pPr>
      <w:r w:rsidDel="00000000" w:rsidR="00000000" w:rsidRPr="00000000">
        <w:rPr>
          <w:rtl w:val="0"/>
        </w:rPr>
        <w:t xml:space="preserve">Noise is only one component of environmental compatibility.</w:t>
      </w:r>
    </w:p>
    <w:p w:rsidR="00000000" w:rsidDel="00000000" w:rsidP="00000000" w:rsidRDefault="00000000" w:rsidRPr="00000000" w14:paraId="00000018">
      <w:pPr>
        <w:spacing w:after="240" w:before="240" w:lineRule="auto"/>
        <w:rPr/>
      </w:pPr>
      <w:r w:rsidDel="00000000" w:rsidR="00000000" w:rsidRPr="00000000">
        <w:rPr>
          <w:rtl w:val="0"/>
        </w:rPr>
        <w:t xml:space="preserve">Wildlife hazards remain a significant aviation safety concern. FAA guidance strongly discourages the creation of land uses that attract hazardous wildlife near aviation facilities, including certain stormwater features, wetlands, and open-water detention areas. Communities should carefully evaluate stormwater management strategies around airports and vertiports to avoid creating unintended bird-attractant conditions (FAA 2018; National Academies 2015).</w:t>
      </w:r>
    </w:p>
    <w:p w:rsidR="00000000" w:rsidDel="00000000" w:rsidP="00000000" w:rsidRDefault="00000000" w:rsidRPr="00000000" w14:paraId="00000019">
      <w:pPr>
        <w:spacing w:after="240" w:before="240" w:lineRule="auto"/>
        <w:rPr/>
      </w:pPr>
      <w:r w:rsidDel="00000000" w:rsidR="00000000" w:rsidRPr="00000000">
        <w:rPr>
          <w:rtl w:val="0"/>
        </w:rPr>
        <w:t xml:space="preserve">Environmental justice and equity considerations are increasingly important in transportation planning. Communities should consider whether aviation-related impacts, including noise, overflights, traffic, visual effects, or infrastructure burdens, are disproportionately concentrated within vulnerable or historically underserved neighborhoods. Environmental justice does not require identical outcomes everywhere, but it does require meaningful consideration of how benefits and burdens are distributed across affected populations (National Academies 2024).</w:t>
      </w:r>
    </w:p>
    <w:p w:rsidR="00000000" w:rsidDel="00000000" w:rsidP="00000000" w:rsidRDefault="00000000" w:rsidRPr="00000000" w14:paraId="0000001A">
      <w:pPr>
        <w:spacing w:after="240" w:before="240" w:lineRule="auto"/>
        <w:rPr/>
      </w:pPr>
      <w:r w:rsidDel="00000000" w:rsidR="00000000" w:rsidRPr="00000000">
        <w:rPr>
          <w:rtl w:val="0"/>
        </w:rPr>
        <w:t xml:space="preserve">Emerging aviation technologies also introduce new infrastructure considerations. Electric aircraft may reduce some emissions and noise impacts, but they do not eliminate environmental concerns. Vertiports and charging facilities may require substantial electrical upgrades, utility coordination, backup power systems, and new infrastructure investments (NREL 2023; National Academies 2024).</w:t>
      </w:r>
    </w:p>
    <w:p w:rsidR="00000000" w:rsidDel="00000000" w:rsidP="00000000" w:rsidRDefault="00000000" w:rsidRPr="00000000" w14:paraId="0000001B">
      <w:pPr>
        <w:spacing w:after="240" w:before="240" w:lineRule="auto"/>
        <w:rPr/>
      </w:pPr>
      <w:r w:rsidDel="00000000" w:rsidR="00000000" w:rsidRPr="00000000">
        <w:rPr>
          <w:rtl w:val="0"/>
        </w:rPr>
        <w:t xml:space="preserve">Battery systems introduce additional considerations. While the public often associates electric aircraft with cleaner operations, lithium-ion battery systems can present fire, thermal runaway, and emergency response challenges that differ from traditional aviation fuels. Communities considering electric aviation infrastructure should coordinate early with utility providers, fire departments, emergency managers, and airport operators to understand these implications.</w:t>
      </w:r>
    </w:p>
    <w:p w:rsidR="00000000" w:rsidDel="00000000" w:rsidP="00000000" w:rsidRDefault="00000000" w:rsidRPr="00000000" w14:paraId="0000001C">
      <w:pPr>
        <w:spacing w:after="240" w:before="240" w:lineRule="auto"/>
        <w:rPr/>
      </w:pPr>
      <w:r w:rsidDel="00000000" w:rsidR="00000000" w:rsidRPr="00000000">
        <w:rPr>
          <w:rtl w:val="0"/>
        </w:rPr>
        <w:t xml:space="preserve">Environmental impacts should therefore be viewed broadly. The question is not simply whether aviation activity creates noise. The question is how the facility interacts with the surrounding natural environment, infrastructure systems, and community context.</w:t>
      </w:r>
    </w:p>
    <w:p w:rsidR="00000000" w:rsidDel="00000000" w:rsidP="00000000" w:rsidRDefault="00000000" w:rsidRPr="00000000" w14:paraId="0000001D">
      <w:pPr>
        <w:pStyle w:val="Heading2"/>
        <w:rPr/>
      </w:pPr>
      <w:bookmarkStart w:colFirst="0" w:colLast="0" w:name="_5iobb366pskh" w:id="6"/>
      <w:bookmarkEnd w:id="6"/>
      <w:r w:rsidDel="00000000" w:rsidR="00000000" w:rsidRPr="00000000">
        <w:rPr>
          <w:rtl w:val="0"/>
        </w:rPr>
        <w:t xml:space="preserve">Environmental Review and Project Development</w:t>
      </w:r>
    </w:p>
    <w:p w:rsidR="00000000" w:rsidDel="00000000" w:rsidP="00000000" w:rsidRDefault="00000000" w:rsidRPr="00000000" w14:paraId="0000001E">
      <w:pPr>
        <w:rPr/>
      </w:pPr>
      <w:r w:rsidDel="00000000" w:rsidR="00000000" w:rsidRPr="00000000">
        <w:rPr>
          <w:rtl w:val="0"/>
        </w:rPr>
        <w:t xml:space="preserve">Environmental impacts and environmental review are related but distinct concepts.</w:t>
      </w:r>
    </w:p>
    <w:p w:rsidR="00000000" w:rsidDel="00000000" w:rsidP="00000000" w:rsidRDefault="00000000" w:rsidRPr="00000000" w14:paraId="0000001F">
      <w:pPr>
        <w:spacing w:after="240" w:before="240" w:lineRule="auto"/>
        <w:rPr/>
      </w:pPr>
      <w:r w:rsidDel="00000000" w:rsidR="00000000" w:rsidRPr="00000000">
        <w:rPr>
          <w:rtl w:val="0"/>
        </w:rPr>
        <w:t xml:space="preserve">A project may have relatively modest impacts while still requiring substantial environmental analysis. Conversely, a project may complete all required environmental reviews and still face significant community opposition.</w:t>
      </w:r>
    </w:p>
    <w:p w:rsidR="00000000" w:rsidDel="00000000" w:rsidP="00000000" w:rsidRDefault="00000000" w:rsidRPr="00000000" w14:paraId="00000020">
      <w:pPr>
        <w:spacing w:after="240" w:before="240" w:lineRule="auto"/>
        <w:rPr/>
      </w:pPr>
      <w:r w:rsidDel="00000000" w:rsidR="00000000" w:rsidRPr="00000000">
        <w:rPr>
          <w:rtl w:val="0"/>
        </w:rPr>
        <w:t xml:space="preserve">For airport development, runway extensions, major airport improvements, vertiports receiving federal assistance, or other federally connected projects, environmental review may become a significant component of project development. Depending on the nature of the project, environmental review may consider topics such as noise, wetlands, wildlife, environmental justice, cultural resources, transportation effects, visual impacts, and community compatibility.</w:t>
      </w:r>
    </w:p>
    <w:p w:rsidR="00000000" w:rsidDel="00000000" w:rsidP="00000000" w:rsidRDefault="00000000" w:rsidRPr="00000000" w14:paraId="00000021">
      <w:pPr>
        <w:spacing w:after="240" w:before="240" w:lineRule="auto"/>
        <w:rPr/>
      </w:pPr>
      <w:r w:rsidDel="00000000" w:rsidR="00000000" w:rsidRPr="00000000">
        <w:rPr>
          <w:rtl w:val="0"/>
        </w:rPr>
        <w:t xml:space="preserve">Airport sponsor assurances specifically tie federally funded projects to numerous federal environmental requirements, including the National Environmental Policy Act (NEPA), Clean Air Act, wetlands protection requirements, floodplain management requirements, and related federal review processes.</w:t>
      </w:r>
    </w:p>
    <w:p w:rsidR="00000000" w:rsidDel="00000000" w:rsidP="00000000" w:rsidRDefault="00000000" w:rsidRPr="00000000" w14:paraId="00000022">
      <w:pPr>
        <w:spacing w:after="240" w:before="240" w:lineRule="auto"/>
        <w:rPr/>
      </w:pPr>
      <w:r w:rsidDel="00000000" w:rsidR="00000000" w:rsidRPr="00000000">
        <w:rPr>
          <w:rtl w:val="0"/>
        </w:rPr>
        <w:t xml:space="preserve">Federal obligations also require public consideration and engagement. For airport locations, runway locations, and major runway extensions, airport sponsors must provide opportunities for public hearings addressing economic, social, and environmental effects (FAA 2025).</w:t>
      </w:r>
    </w:p>
    <w:p w:rsidR="00000000" w:rsidDel="00000000" w:rsidP="00000000" w:rsidRDefault="00000000" w:rsidRPr="00000000" w14:paraId="00000023">
      <w:pPr>
        <w:spacing w:after="240" w:before="240" w:lineRule="auto"/>
        <w:rPr/>
      </w:pPr>
      <w:r w:rsidDel="00000000" w:rsidR="00000000" w:rsidRPr="00000000">
        <w:rPr>
          <w:rtl w:val="0"/>
        </w:rPr>
        <w:t xml:space="preserve">Communities should therefore anticipate that major aviation projects may require:</w:t>
      </w:r>
    </w:p>
    <w:p w:rsidR="00000000" w:rsidDel="00000000" w:rsidP="00000000" w:rsidRDefault="00000000" w:rsidRPr="00000000" w14:paraId="00000024">
      <w:pPr>
        <w:numPr>
          <w:ilvl w:val="0"/>
          <w:numId w:val="2"/>
        </w:numPr>
        <w:spacing w:after="0" w:afterAutospacing="0" w:before="240" w:lineRule="auto"/>
        <w:ind w:left="720" w:hanging="360"/>
        <w:rPr/>
      </w:pPr>
      <w:r w:rsidDel="00000000" w:rsidR="00000000" w:rsidRPr="00000000">
        <w:rPr>
          <w:rtl w:val="0"/>
        </w:rPr>
        <w:t xml:space="preserve">Environmental review</w:t>
      </w:r>
    </w:p>
    <w:p w:rsidR="00000000" w:rsidDel="00000000" w:rsidP="00000000" w:rsidRDefault="00000000" w:rsidRPr="00000000" w14:paraId="00000025">
      <w:pPr>
        <w:numPr>
          <w:ilvl w:val="0"/>
          <w:numId w:val="2"/>
        </w:numPr>
        <w:spacing w:after="0" w:afterAutospacing="0" w:before="0" w:beforeAutospacing="0" w:lineRule="auto"/>
        <w:ind w:left="720" w:hanging="360"/>
        <w:rPr/>
      </w:pPr>
      <w:r w:rsidDel="00000000" w:rsidR="00000000" w:rsidRPr="00000000">
        <w:rPr>
          <w:rtl w:val="0"/>
        </w:rPr>
        <w:t xml:space="preserve">Technical studies</w:t>
      </w:r>
    </w:p>
    <w:p w:rsidR="00000000" w:rsidDel="00000000" w:rsidP="00000000" w:rsidRDefault="00000000" w:rsidRPr="00000000" w14:paraId="00000026">
      <w:pPr>
        <w:numPr>
          <w:ilvl w:val="0"/>
          <w:numId w:val="2"/>
        </w:numPr>
        <w:spacing w:after="0" w:afterAutospacing="0" w:before="0" w:beforeAutospacing="0" w:lineRule="auto"/>
        <w:ind w:left="720" w:hanging="360"/>
        <w:rPr/>
      </w:pPr>
      <w:r w:rsidDel="00000000" w:rsidR="00000000" w:rsidRPr="00000000">
        <w:rPr>
          <w:rtl w:val="0"/>
        </w:rPr>
        <w:t xml:space="preserve">Agency coordination</w:t>
      </w:r>
    </w:p>
    <w:p w:rsidR="00000000" w:rsidDel="00000000" w:rsidP="00000000" w:rsidRDefault="00000000" w:rsidRPr="00000000" w14:paraId="00000027">
      <w:pPr>
        <w:numPr>
          <w:ilvl w:val="0"/>
          <w:numId w:val="2"/>
        </w:numPr>
        <w:spacing w:after="0" w:afterAutospacing="0" w:before="0" w:beforeAutospacing="0" w:lineRule="auto"/>
        <w:ind w:left="720" w:hanging="360"/>
        <w:rPr/>
      </w:pPr>
      <w:r w:rsidDel="00000000" w:rsidR="00000000" w:rsidRPr="00000000">
        <w:rPr>
          <w:rtl w:val="0"/>
        </w:rPr>
        <w:t xml:space="preserve">Public involvement</w:t>
      </w:r>
    </w:p>
    <w:p w:rsidR="00000000" w:rsidDel="00000000" w:rsidP="00000000" w:rsidRDefault="00000000" w:rsidRPr="00000000" w14:paraId="00000028">
      <w:pPr>
        <w:numPr>
          <w:ilvl w:val="0"/>
          <w:numId w:val="2"/>
        </w:numPr>
        <w:spacing w:after="0" w:afterAutospacing="0" w:before="0" w:beforeAutospacing="0" w:lineRule="auto"/>
        <w:ind w:left="720" w:hanging="360"/>
        <w:rPr/>
      </w:pPr>
      <w:r w:rsidDel="00000000" w:rsidR="00000000" w:rsidRPr="00000000">
        <w:rPr>
          <w:rtl w:val="0"/>
        </w:rPr>
        <w:t xml:space="preserve">Consultant support</w:t>
      </w:r>
    </w:p>
    <w:p w:rsidR="00000000" w:rsidDel="00000000" w:rsidP="00000000" w:rsidRDefault="00000000" w:rsidRPr="00000000" w14:paraId="00000029">
      <w:pPr>
        <w:numPr>
          <w:ilvl w:val="0"/>
          <w:numId w:val="2"/>
        </w:numPr>
        <w:spacing w:after="240" w:before="0" w:beforeAutospacing="0" w:lineRule="auto"/>
        <w:ind w:left="720" w:hanging="360"/>
        <w:rPr/>
      </w:pPr>
      <w:r w:rsidDel="00000000" w:rsidR="00000000" w:rsidRPr="00000000">
        <w:rPr>
          <w:rtl w:val="0"/>
        </w:rPr>
        <w:t xml:space="preserve">Additional schedule and budget considerations</w:t>
      </w:r>
    </w:p>
    <w:p w:rsidR="00000000" w:rsidDel="00000000" w:rsidP="00000000" w:rsidRDefault="00000000" w:rsidRPr="00000000" w14:paraId="0000002A">
      <w:pPr>
        <w:spacing w:after="240" w:before="240" w:lineRule="auto"/>
        <w:rPr/>
      </w:pPr>
      <w:r w:rsidDel="00000000" w:rsidR="00000000" w:rsidRPr="00000000">
        <w:rPr>
          <w:rtl w:val="0"/>
        </w:rPr>
        <w:t xml:space="preserve">The purpose of this toolkit is to help communities recognize when environmental review may become a significant component of project development and identify resources that can support informed decision-making.</w:t>
      </w:r>
    </w:p>
    <w:p w:rsidR="00000000" w:rsidDel="00000000" w:rsidP="00000000" w:rsidRDefault="00000000" w:rsidRPr="00000000" w14:paraId="0000002B">
      <w:pPr>
        <w:pStyle w:val="Heading2"/>
        <w:rPr/>
      </w:pPr>
      <w:bookmarkStart w:colFirst="0" w:colLast="0" w:name="_3pgcqnbruc3c" w:id="7"/>
      <w:bookmarkEnd w:id="7"/>
      <w:r w:rsidDel="00000000" w:rsidR="00000000" w:rsidRPr="00000000">
        <w:rPr>
          <w:rtl w:val="0"/>
        </w:rPr>
        <w:t xml:space="preserve">Planning and Mitigation Strategies</w:t>
      </w:r>
    </w:p>
    <w:p w:rsidR="00000000" w:rsidDel="00000000" w:rsidP="00000000" w:rsidRDefault="00000000" w:rsidRPr="00000000" w14:paraId="0000002C">
      <w:pPr>
        <w:rPr/>
      </w:pPr>
      <w:r w:rsidDel="00000000" w:rsidR="00000000" w:rsidRPr="00000000">
        <w:rPr>
          <w:rtl w:val="0"/>
        </w:rPr>
        <w:t xml:space="preserve">The most effective mitigation strategies are often implemented long before construction begins.</w:t>
      </w:r>
    </w:p>
    <w:p w:rsidR="00000000" w:rsidDel="00000000" w:rsidP="00000000" w:rsidRDefault="00000000" w:rsidRPr="00000000" w14:paraId="0000002D">
      <w:pPr>
        <w:spacing w:after="240" w:before="240" w:lineRule="auto"/>
        <w:rPr/>
      </w:pPr>
      <w:r w:rsidDel="00000000" w:rsidR="00000000" w:rsidRPr="00000000">
        <w:rPr>
          <w:rtl w:val="0"/>
        </w:rPr>
        <w:t xml:space="preserve">Compatibility planning remains one of the most important tools available to local governments. Land use policies, zoning regulations, overlays, disclosure requirements, buffers, and development review processes can help reduce future conflicts between aviation facilities and surrounding development.</w:t>
      </w:r>
    </w:p>
    <w:p w:rsidR="00000000" w:rsidDel="00000000" w:rsidP="00000000" w:rsidRDefault="00000000" w:rsidRPr="00000000" w14:paraId="0000002E">
      <w:pPr>
        <w:spacing w:after="240" w:before="240" w:lineRule="auto"/>
        <w:rPr/>
      </w:pPr>
      <w:r w:rsidDel="00000000" w:rsidR="00000000" w:rsidRPr="00000000">
        <w:rPr>
          <w:rtl w:val="0"/>
        </w:rPr>
        <w:t xml:space="preserve">Many communities find that proactive planning is more effective than attempting to resolve conflicts after incompatible development has already occurred. Residential encroachment, incompatible land uses, and unrealistic expectations can be difficult and expensive to address once established.</w:t>
      </w:r>
    </w:p>
    <w:p w:rsidR="00000000" w:rsidDel="00000000" w:rsidP="00000000" w:rsidRDefault="00000000" w:rsidRPr="00000000" w14:paraId="0000002F">
      <w:pPr>
        <w:spacing w:after="240" w:before="240" w:lineRule="auto"/>
        <w:rPr/>
      </w:pPr>
      <w:r w:rsidDel="00000000" w:rsidR="00000000" w:rsidRPr="00000000">
        <w:rPr>
          <w:rtl w:val="0"/>
        </w:rPr>
        <w:t xml:space="preserve">Community engagement is equally important. Research consistently shows that meaningful public involvement improves understanding, reduces misinformation, and helps identify concerns early in the planning process. Effective engagement goes beyond public notices and formal hearings. It includes outreach that helps residents understand what is proposed, how decisions will be made, and what opportunities exist for participation (USDOT 2022; National Academies 2024).</w:t>
      </w:r>
    </w:p>
    <w:p w:rsidR="00000000" w:rsidDel="00000000" w:rsidP="00000000" w:rsidRDefault="00000000" w:rsidRPr="00000000" w14:paraId="00000030">
      <w:pPr>
        <w:spacing w:after="240" w:before="240" w:lineRule="auto"/>
        <w:rPr/>
      </w:pPr>
      <w:r w:rsidDel="00000000" w:rsidR="00000000" w:rsidRPr="00000000">
        <w:rPr>
          <w:rtl w:val="0"/>
        </w:rPr>
        <w:t xml:space="preserve">Monitoring and transparency can also play an important role. Flight tracking tools, complaint management systems, noise monitoring, operational reporting, and public communication programs can help build trust and provide communities with better information regarding actual conditions.</w:t>
      </w:r>
    </w:p>
    <w:p w:rsidR="00000000" w:rsidDel="00000000" w:rsidP="00000000" w:rsidRDefault="00000000" w:rsidRPr="00000000" w14:paraId="00000031">
      <w:pPr>
        <w:spacing w:after="240" w:before="240" w:lineRule="auto"/>
        <w:rPr/>
      </w:pPr>
      <w:r w:rsidDel="00000000" w:rsidR="00000000" w:rsidRPr="00000000">
        <w:rPr>
          <w:rtl w:val="0"/>
        </w:rPr>
        <w:t xml:space="preserve">Ultimately, mitigation is not a single action. It is a dynamic combination of planning, communication, infrastructure decisions, operational practices, and community engagement. Communities that address these issues early are generally better positioned to integrate aviation infrastructure while maintaining compatibility with local goals and community expectations.</w:t>
      </w:r>
    </w:p>
    <w:p w:rsidR="00000000" w:rsidDel="00000000" w:rsidP="00000000" w:rsidRDefault="00000000" w:rsidRPr="00000000" w14:paraId="00000032">
      <w:pPr>
        <w:pStyle w:val="Heading2"/>
        <w:rPr/>
      </w:pPr>
      <w:bookmarkStart w:colFirst="0" w:colLast="0" w:name="_fz80pomwa1gz" w:id="8"/>
      <w:bookmarkEnd w:id="8"/>
      <w:r w:rsidDel="00000000" w:rsidR="00000000" w:rsidRPr="00000000">
        <w:rPr>
          <w:rtl w:val="0"/>
        </w:rPr>
        <w:t xml:space="preserve">Additional Resources</w:t>
      </w:r>
    </w:p>
    <w:p w:rsidR="00000000" w:rsidDel="00000000" w:rsidP="00000000" w:rsidRDefault="00000000" w:rsidRPr="00000000" w14:paraId="00000033">
      <w:pPr>
        <w:pStyle w:val="Heading3"/>
        <w:spacing w:after="240" w:before="240" w:lineRule="auto"/>
        <w:rPr/>
      </w:pPr>
      <w:bookmarkStart w:colFirst="0" w:colLast="0" w:name="_6sh5tasw8yjl" w:id="9"/>
      <w:bookmarkEnd w:id="9"/>
      <w:r w:rsidDel="00000000" w:rsidR="00000000" w:rsidRPr="00000000">
        <w:rPr>
          <w:rtl w:val="0"/>
        </w:rPr>
        <w:t xml:space="preserve">Noise and Community Compatibility</w:t>
      </w:r>
    </w:p>
    <w:p w:rsidR="00000000" w:rsidDel="00000000" w:rsidP="00000000" w:rsidRDefault="00000000" w:rsidRPr="00000000" w14:paraId="00000034">
      <w:pPr>
        <w:numPr>
          <w:ilvl w:val="0"/>
          <w:numId w:val="3"/>
        </w:numPr>
        <w:spacing w:after="0" w:afterAutospacing="0" w:before="240" w:lineRule="auto"/>
        <w:ind w:left="720" w:hanging="360"/>
        <w:rPr/>
      </w:pPr>
      <w:r w:rsidDel="00000000" w:rsidR="00000000" w:rsidRPr="00000000">
        <w:rPr>
          <w:rtl w:val="0"/>
        </w:rPr>
        <w:t xml:space="preserve">FAA Part 150 Airport Noise Compatibility Planning</w:t>
      </w:r>
    </w:p>
    <w:p w:rsidR="00000000" w:rsidDel="00000000" w:rsidP="00000000" w:rsidRDefault="00000000" w:rsidRPr="00000000" w14:paraId="00000035">
      <w:pPr>
        <w:numPr>
          <w:ilvl w:val="0"/>
          <w:numId w:val="3"/>
        </w:numPr>
        <w:spacing w:after="0" w:afterAutospacing="0" w:before="0" w:beforeAutospacing="0" w:lineRule="auto"/>
        <w:ind w:left="720" w:hanging="360"/>
        <w:rPr/>
      </w:pPr>
      <w:r w:rsidDel="00000000" w:rsidR="00000000" w:rsidRPr="00000000">
        <w:rPr>
          <w:rtl w:val="0"/>
        </w:rPr>
        <w:t xml:space="preserve">FAA Noise Policy Review (2023)</w:t>
      </w:r>
    </w:p>
    <w:p w:rsidR="00000000" w:rsidDel="00000000" w:rsidP="00000000" w:rsidRDefault="00000000" w:rsidRPr="00000000" w14:paraId="00000036">
      <w:pPr>
        <w:numPr>
          <w:ilvl w:val="0"/>
          <w:numId w:val="3"/>
        </w:numPr>
        <w:spacing w:after="0" w:afterAutospacing="0" w:before="0" w:beforeAutospacing="0" w:lineRule="auto"/>
        <w:ind w:left="720" w:hanging="360"/>
        <w:rPr/>
      </w:pPr>
      <w:r w:rsidDel="00000000" w:rsidR="00000000" w:rsidRPr="00000000">
        <w:rPr>
          <w:rtl w:val="0"/>
        </w:rPr>
        <w:t xml:space="preserve">GAO-21-103933 Aircraft Noise</w:t>
      </w:r>
    </w:p>
    <w:p w:rsidR="00000000" w:rsidDel="00000000" w:rsidP="00000000" w:rsidRDefault="00000000" w:rsidRPr="00000000" w14:paraId="00000037">
      <w:pPr>
        <w:numPr>
          <w:ilvl w:val="0"/>
          <w:numId w:val="3"/>
        </w:numPr>
        <w:spacing w:after="0" w:afterAutospacing="0" w:before="0" w:beforeAutospacing="0" w:lineRule="auto"/>
        <w:ind w:left="720" w:hanging="360"/>
        <w:rPr/>
      </w:pPr>
      <w:r w:rsidDel="00000000" w:rsidR="00000000" w:rsidRPr="00000000">
        <w:rPr>
          <w:rtl w:val="0"/>
        </w:rPr>
        <w:t xml:space="preserve">ACRP Synthesis 16: Noise Programs Outside DNL 65</w:t>
      </w:r>
    </w:p>
    <w:p w:rsidR="00000000" w:rsidDel="00000000" w:rsidP="00000000" w:rsidRDefault="00000000" w:rsidRPr="00000000" w14:paraId="00000038">
      <w:pPr>
        <w:numPr>
          <w:ilvl w:val="0"/>
          <w:numId w:val="3"/>
        </w:numPr>
        <w:spacing w:after="240" w:before="0" w:beforeAutospacing="0" w:lineRule="auto"/>
        <w:ind w:left="720" w:hanging="360"/>
        <w:rPr/>
      </w:pPr>
      <w:r w:rsidDel="00000000" w:rsidR="00000000" w:rsidRPr="00000000">
        <w:rPr>
          <w:rtl w:val="0"/>
        </w:rPr>
        <w:t xml:space="preserve">ACRP Research Report 221: Measuring Quality of Life in Communities Surrounding Airports</w:t>
      </w:r>
    </w:p>
    <w:p w:rsidR="00000000" w:rsidDel="00000000" w:rsidP="00000000" w:rsidRDefault="00000000" w:rsidRPr="00000000" w14:paraId="00000039">
      <w:pPr>
        <w:pStyle w:val="Heading3"/>
        <w:spacing w:after="240" w:before="240" w:lineRule="auto"/>
        <w:rPr/>
      </w:pPr>
      <w:bookmarkStart w:colFirst="0" w:colLast="0" w:name="_24s4p6t3tgya" w:id="10"/>
      <w:bookmarkEnd w:id="10"/>
      <w:r w:rsidDel="00000000" w:rsidR="00000000" w:rsidRPr="00000000">
        <w:rPr>
          <w:rtl w:val="0"/>
        </w:rPr>
        <w:t xml:space="preserve">Environmental Planning</w:t>
      </w:r>
    </w:p>
    <w:p w:rsidR="00000000" w:rsidDel="00000000" w:rsidP="00000000" w:rsidRDefault="00000000" w:rsidRPr="00000000" w14:paraId="0000003A">
      <w:pPr>
        <w:numPr>
          <w:ilvl w:val="0"/>
          <w:numId w:val="4"/>
        </w:numPr>
        <w:spacing w:after="0" w:afterAutospacing="0" w:before="240" w:lineRule="auto"/>
        <w:ind w:left="720" w:hanging="360"/>
        <w:rPr/>
      </w:pPr>
      <w:r w:rsidDel="00000000" w:rsidR="00000000" w:rsidRPr="00000000">
        <w:rPr>
          <w:rtl w:val="0"/>
        </w:rPr>
        <w:t xml:space="preserve">FAA Environmental Desk Reference for Airport Actions</w:t>
      </w:r>
    </w:p>
    <w:p w:rsidR="00000000" w:rsidDel="00000000" w:rsidP="00000000" w:rsidRDefault="00000000" w:rsidRPr="00000000" w14:paraId="0000003B">
      <w:pPr>
        <w:numPr>
          <w:ilvl w:val="0"/>
          <w:numId w:val="4"/>
        </w:numPr>
        <w:spacing w:after="0" w:afterAutospacing="0" w:before="0" w:beforeAutospacing="0" w:lineRule="auto"/>
        <w:ind w:left="720" w:hanging="360"/>
        <w:rPr/>
      </w:pPr>
      <w:r w:rsidDel="00000000" w:rsidR="00000000" w:rsidRPr="00000000">
        <w:rPr>
          <w:rtl w:val="0"/>
        </w:rPr>
        <w:t xml:space="preserve">FAA AC 150/5200-33C Hazardous Wildlife Attractants</w:t>
      </w:r>
    </w:p>
    <w:p w:rsidR="00000000" w:rsidDel="00000000" w:rsidP="00000000" w:rsidRDefault="00000000" w:rsidRPr="00000000" w14:paraId="0000003C">
      <w:pPr>
        <w:numPr>
          <w:ilvl w:val="0"/>
          <w:numId w:val="4"/>
        </w:numPr>
        <w:spacing w:after="0" w:afterAutospacing="0" w:before="0" w:beforeAutospacing="0" w:lineRule="auto"/>
        <w:ind w:left="720" w:hanging="360"/>
        <w:rPr/>
      </w:pPr>
      <w:r w:rsidDel="00000000" w:rsidR="00000000" w:rsidRPr="00000000">
        <w:rPr>
          <w:rtl w:val="0"/>
        </w:rPr>
        <w:t xml:space="preserve">ACRP Report 125: Balancing Airport Stormwater and Bird Hazard Management</w:t>
      </w:r>
    </w:p>
    <w:p w:rsidR="00000000" w:rsidDel="00000000" w:rsidP="00000000" w:rsidRDefault="00000000" w:rsidRPr="00000000" w14:paraId="0000003D">
      <w:pPr>
        <w:numPr>
          <w:ilvl w:val="0"/>
          <w:numId w:val="4"/>
        </w:numPr>
        <w:spacing w:after="240" w:before="0" w:beforeAutospacing="0" w:lineRule="auto"/>
        <w:ind w:left="720" w:hanging="360"/>
        <w:rPr/>
      </w:pPr>
      <w:r w:rsidDel="00000000" w:rsidR="00000000" w:rsidRPr="00000000">
        <w:rPr>
          <w:rtl w:val="0"/>
        </w:rPr>
        <w:t xml:space="preserve">ACRP Research Report 265: Environmental Justice and Equity Principles</w:t>
      </w:r>
    </w:p>
    <w:p w:rsidR="00000000" w:rsidDel="00000000" w:rsidP="00000000" w:rsidRDefault="00000000" w:rsidRPr="00000000" w14:paraId="0000003E">
      <w:pPr>
        <w:pStyle w:val="Heading3"/>
        <w:spacing w:after="240" w:before="240" w:lineRule="auto"/>
        <w:rPr/>
      </w:pPr>
      <w:bookmarkStart w:colFirst="0" w:colLast="0" w:name="_v9rcxspunpv4" w:id="11"/>
      <w:bookmarkEnd w:id="11"/>
      <w:r w:rsidDel="00000000" w:rsidR="00000000" w:rsidRPr="00000000">
        <w:rPr>
          <w:rtl w:val="0"/>
        </w:rPr>
        <w:t xml:space="preserve">Advanced Air Mobility</w:t>
      </w:r>
    </w:p>
    <w:p w:rsidR="00000000" w:rsidDel="00000000" w:rsidP="00000000" w:rsidRDefault="00000000" w:rsidRPr="00000000" w14:paraId="0000003F">
      <w:pPr>
        <w:numPr>
          <w:ilvl w:val="0"/>
          <w:numId w:val="1"/>
        </w:numPr>
        <w:spacing w:after="0" w:afterAutospacing="0" w:before="240" w:lineRule="auto"/>
        <w:ind w:left="720" w:hanging="360"/>
        <w:rPr/>
      </w:pPr>
      <w:r w:rsidDel="00000000" w:rsidR="00000000" w:rsidRPr="00000000">
        <w:rPr>
          <w:rtl w:val="0"/>
        </w:rPr>
        <w:t xml:space="preserve">ACRP Research Report 261: Advanced Air Mobility and Community Outreach</w:t>
      </w:r>
    </w:p>
    <w:p w:rsidR="00000000" w:rsidDel="00000000" w:rsidP="00000000" w:rsidRDefault="00000000" w:rsidRPr="00000000" w14:paraId="00000040">
      <w:pPr>
        <w:numPr>
          <w:ilvl w:val="0"/>
          <w:numId w:val="1"/>
        </w:numPr>
        <w:spacing w:after="0" w:afterAutospacing="0" w:before="0" w:beforeAutospacing="0" w:lineRule="auto"/>
        <w:ind w:left="720" w:hanging="360"/>
        <w:rPr/>
      </w:pPr>
      <w:r w:rsidDel="00000000" w:rsidR="00000000" w:rsidRPr="00000000">
        <w:rPr>
          <w:rtl w:val="0"/>
        </w:rPr>
        <w:t xml:space="preserve">FAA Engineering Brief 105A: Vertiport Design</w:t>
      </w:r>
    </w:p>
    <w:p w:rsidR="00000000" w:rsidDel="00000000" w:rsidP="00000000" w:rsidRDefault="00000000" w:rsidRPr="00000000" w14:paraId="00000041">
      <w:pPr>
        <w:numPr>
          <w:ilvl w:val="0"/>
          <w:numId w:val="1"/>
        </w:numPr>
        <w:spacing w:after="240" w:before="0" w:beforeAutospacing="0" w:lineRule="auto"/>
        <w:ind w:left="720" w:hanging="360"/>
        <w:rPr/>
      </w:pPr>
      <w:r w:rsidDel="00000000" w:rsidR="00000000" w:rsidRPr="00000000">
        <w:rPr>
          <w:rtl w:val="0"/>
        </w:rPr>
        <w:t xml:space="preserve">AAM National Strategy</w:t>
      </w:r>
    </w:p>
    <w:p w:rsidR="00000000" w:rsidDel="00000000" w:rsidP="00000000" w:rsidRDefault="00000000" w:rsidRPr="00000000" w14:paraId="00000042">
      <w:pPr>
        <w:pStyle w:val="Heading2"/>
        <w:rPr/>
      </w:pPr>
      <w:bookmarkStart w:colFirst="0" w:colLast="0" w:name="_k5r5xcqbk2et" w:id="12"/>
      <w:bookmarkEnd w:id="12"/>
      <w:r w:rsidDel="00000000" w:rsidR="00000000" w:rsidRPr="00000000">
        <w:rPr>
          <w:rtl w:val="0"/>
        </w:rPr>
        <w:t xml:space="preserve">References</w:t>
      </w:r>
    </w:p>
    <w:p w:rsidR="00000000" w:rsidDel="00000000" w:rsidP="00000000" w:rsidRDefault="00000000" w:rsidRPr="00000000" w14:paraId="00000043">
      <w:pPr>
        <w:rPr/>
      </w:pPr>
      <w:r w:rsidDel="00000000" w:rsidR="00000000" w:rsidRPr="00000000">
        <w:rPr>
          <w:rtl w:val="0"/>
        </w:rPr>
        <w:t xml:space="preserve">Federal Aviation Administration (FAA). 2018. Advisory Circular 150/5200-38: Protocol for the Conduct and Review of Wildlife Hazard Site Visits, Wildlife Hazard Assessments, and Wildlife Hazard Management Plans. Washington, DC: Federal Aviation Administration.</w:t>
      </w:r>
    </w:p>
    <w:p w:rsidR="00000000" w:rsidDel="00000000" w:rsidP="00000000" w:rsidRDefault="00000000" w:rsidRPr="00000000" w14:paraId="00000044">
      <w:pPr>
        <w:spacing w:after="240" w:before="240" w:lineRule="auto"/>
        <w:rPr/>
      </w:pPr>
      <w:r w:rsidDel="00000000" w:rsidR="00000000" w:rsidRPr="00000000">
        <w:rPr>
          <w:rtl w:val="0"/>
        </w:rPr>
        <w:t xml:space="preserve">Federal Aviation Administration (FAA). 2021. </w:t>
      </w:r>
      <w:r w:rsidDel="00000000" w:rsidR="00000000" w:rsidRPr="00000000">
        <w:rPr>
          <w:i w:val="1"/>
          <w:iCs w:val="1"/>
          <w:rtl w:val="0"/>
        </w:rPr>
        <w:t xml:space="preserve">Analysis of the Neighborhood Environmental Survey</w:t>
      </w:r>
      <w:r w:rsidDel="00000000" w:rsidR="00000000" w:rsidRPr="00000000">
        <w:rPr>
          <w:rtl w:val="0"/>
        </w:rPr>
        <w:t xml:space="preserve">. DOT/FAA/TC-21/4. Atlantic City, NJ: William J. Hughes Technical Center.</w:t>
      </w:r>
    </w:p>
    <w:p w:rsidR="00000000" w:rsidDel="00000000" w:rsidP="00000000" w:rsidRDefault="00000000" w:rsidRPr="00000000" w14:paraId="00000045">
      <w:pPr>
        <w:spacing w:after="240" w:before="240" w:lineRule="auto"/>
        <w:rPr/>
      </w:pPr>
      <w:r w:rsidDel="00000000" w:rsidR="00000000" w:rsidRPr="00000000">
        <w:rPr>
          <w:rtl w:val="0"/>
        </w:rPr>
        <w:t xml:space="preserve">Federal Aviation Administration (FAA). 2023. </w:t>
      </w:r>
      <w:r w:rsidDel="00000000" w:rsidR="00000000" w:rsidRPr="00000000">
        <w:rPr>
          <w:i w:val="1"/>
          <w:iCs w:val="1"/>
          <w:rtl w:val="0"/>
        </w:rPr>
        <w:t xml:space="preserve">The Foundational Elements of the Federal Aviation Administration Civil Aviation Noise Policy</w:t>
      </w:r>
      <w:r w:rsidDel="00000000" w:rsidR="00000000" w:rsidRPr="00000000">
        <w:rPr>
          <w:rtl w:val="0"/>
        </w:rPr>
        <w:t xml:space="preserve">. Washington, DC: Federal Aviation Administration.</w:t>
      </w:r>
    </w:p>
    <w:p w:rsidR="00000000" w:rsidDel="00000000" w:rsidP="00000000" w:rsidRDefault="00000000" w:rsidRPr="00000000" w14:paraId="00000046">
      <w:pPr>
        <w:spacing w:after="240" w:before="240" w:lineRule="auto"/>
        <w:rPr/>
      </w:pPr>
      <w:r w:rsidDel="00000000" w:rsidR="00000000" w:rsidRPr="00000000">
        <w:rPr>
          <w:rtl w:val="0"/>
        </w:rPr>
        <w:t xml:space="preserve">Federal Aviation Administration (FAA). 2025. </w:t>
      </w:r>
      <w:r w:rsidDel="00000000" w:rsidR="00000000" w:rsidRPr="00000000">
        <w:rPr>
          <w:i w:val="1"/>
          <w:iCs w:val="1"/>
          <w:rtl w:val="0"/>
        </w:rPr>
        <w:t xml:space="preserve">Airport Sponsor Assurances</w:t>
      </w:r>
      <w:r w:rsidDel="00000000" w:rsidR="00000000" w:rsidRPr="00000000">
        <w:rPr>
          <w:rtl w:val="0"/>
        </w:rPr>
        <w:t xml:space="preserve">. Washington, DC: Federal Aviation Administration.</w:t>
      </w:r>
    </w:p>
    <w:p w:rsidR="00000000" w:rsidDel="00000000" w:rsidP="00000000" w:rsidRDefault="00000000" w:rsidRPr="00000000" w14:paraId="00000047">
      <w:pPr>
        <w:spacing w:after="240" w:before="240" w:lineRule="auto"/>
        <w:rPr/>
      </w:pPr>
      <w:r w:rsidDel="00000000" w:rsidR="00000000" w:rsidRPr="00000000">
        <w:rPr>
          <w:rtl w:val="0"/>
        </w:rPr>
        <w:t xml:space="preserve">Government Accountability Office (GAO). 2021. </w:t>
      </w:r>
      <w:r w:rsidDel="00000000" w:rsidR="00000000" w:rsidRPr="00000000">
        <w:rPr>
          <w:i w:val="1"/>
          <w:iCs w:val="1"/>
          <w:rtl w:val="0"/>
        </w:rPr>
        <w:t xml:space="preserve">Aircraft Noise: FAA Could Improve Outreach Through Enhanced Noise Metrics, Communication, and Support to Communities</w:t>
      </w:r>
      <w:r w:rsidDel="00000000" w:rsidR="00000000" w:rsidRPr="00000000">
        <w:rPr>
          <w:rtl w:val="0"/>
        </w:rPr>
        <w:t xml:space="preserve">. GAO-21-103933. Washington, DC: Government Accountability Office.</w:t>
      </w:r>
    </w:p>
    <w:p w:rsidR="00000000" w:rsidDel="00000000" w:rsidP="00000000" w:rsidRDefault="00000000" w:rsidRPr="00000000" w14:paraId="00000048">
      <w:pPr>
        <w:spacing w:after="240" w:before="240" w:lineRule="auto"/>
        <w:rPr/>
      </w:pPr>
      <w:r w:rsidDel="00000000" w:rsidR="00000000" w:rsidRPr="00000000">
        <w:rPr>
          <w:rtl w:val="0"/>
        </w:rPr>
        <w:t xml:space="preserve">Government Accountability Office (GAO). 2022. </w:t>
      </w:r>
      <w:r w:rsidDel="00000000" w:rsidR="00000000" w:rsidRPr="00000000">
        <w:rPr>
          <w:i w:val="1"/>
          <w:iCs w:val="1"/>
          <w:rtl w:val="0"/>
        </w:rPr>
        <w:t xml:space="preserve">Aircraft Noise: FAA Should Improve Efforts to Address Community Concerns</w:t>
      </w:r>
      <w:r w:rsidDel="00000000" w:rsidR="00000000" w:rsidRPr="00000000">
        <w:rPr>
          <w:rtl w:val="0"/>
        </w:rPr>
        <w:t xml:space="preserve">. GAO-22-105844. Washington, DC: Government Accountability Office.</w:t>
      </w:r>
    </w:p>
    <w:p w:rsidR="00000000" w:rsidDel="00000000" w:rsidP="00000000" w:rsidRDefault="00000000" w:rsidRPr="00000000" w14:paraId="00000049">
      <w:pPr>
        <w:spacing w:after="240" w:before="240" w:lineRule="auto"/>
        <w:rPr/>
      </w:pPr>
      <w:r w:rsidDel="00000000" w:rsidR="00000000" w:rsidRPr="00000000">
        <w:rPr>
          <w:rtl w:val="0"/>
        </w:rPr>
        <w:t xml:space="preserve">National Academies of Sciences, Engineering, and Medicine. 2015. </w:t>
      </w:r>
      <w:r w:rsidDel="00000000" w:rsidR="00000000" w:rsidRPr="00000000">
        <w:rPr>
          <w:i w:val="1"/>
          <w:iCs w:val="1"/>
          <w:rtl w:val="0"/>
        </w:rPr>
        <w:t xml:space="preserve">ACRP Report 125: Balancing Airport Stormwater and Bird Hazard Management</w:t>
      </w:r>
      <w:r w:rsidDel="00000000" w:rsidR="00000000" w:rsidRPr="00000000">
        <w:rPr>
          <w:rtl w:val="0"/>
        </w:rPr>
        <w:t xml:space="preserve">. Washington, DC: The National Academies Press.</w:t>
      </w:r>
    </w:p>
    <w:p w:rsidR="00000000" w:rsidDel="00000000" w:rsidP="00000000" w:rsidRDefault="00000000" w:rsidRPr="00000000" w14:paraId="0000004A">
      <w:pPr>
        <w:spacing w:after="240" w:before="240" w:lineRule="auto"/>
        <w:rPr/>
      </w:pPr>
      <w:r w:rsidDel="00000000" w:rsidR="00000000" w:rsidRPr="00000000">
        <w:rPr>
          <w:rtl w:val="0"/>
        </w:rPr>
        <w:t xml:space="preserve">National Academies of Sciences, Engineering, and Medicine. 2019. </w:t>
      </w:r>
      <w:r w:rsidDel="00000000" w:rsidR="00000000" w:rsidRPr="00000000">
        <w:rPr>
          <w:i w:val="1"/>
          <w:iCs w:val="1"/>
          <w:rtl w:val="0"/>
        </w:rPr>
        <w:t xml:space="preserve">Measuring Quality of Life in Communities Surrounding Airports</w:t>
      </w:r>
      <w:r w:rsidDel="00000000" w:rsidR="00000000" w:rsidRPr="00000000">
        <w:rPr>
          <w:rtl w:val="0"/>
        </w:rPr>
        <w:t xml:space="preserve">. ACRP Research Report 221. Washington, DC: The National Academies Press.</w:t>
      </w:r>
    </w:p>
    <w:p w:rsidR="00000000" w:rsidDel="00000000" w:rsidP="00000000" w:rsidRDefault="00000000" w:rsidRPr="00000000" w14:paraId="0000004B">
      <w:pPr>
        <w:spacing w:after="240" w:before="240" w:lineRule="auto"/>
        <w:rPr/>
      </w:pPr>
      <w:r w:rsidDel="00000000" w:rsidR="00000000" w:rsidRPr="00000000">
        <w:rPr>
          <w:rtl w:val="0"/>
        </w:rPr>
        <w:t xml:space="preserve">National Academies of Sciences, Engineering, and Medicine. 2024a. </w:t>
      </w:r>
      <w:r w:rsidDel="00000000" w:rsidR="00000000" w:rsidRPr="00000000">
        <w:rPr>
          <w:i w:val="1"/>
          <w:iCs w:val="1"/>
          <w:rtl w:val="0"/>
        </w:rPr>
        <w:t xml:space="preserve">Advanced Air Mobility and Community Outreach</w:t>
      </w:r>
      <w:r w:rsidDel="00000000" w:rsidR="00000000" w:rsidRPr="00000000">
        <w:rPr>
          <w:rtl w:val="0"/>
        </w:rPr>
        <w:t xml:space="preserve">. ACRP Research Report 261. Washington, DC: The National Academies Press.</w:t>
      </w:r>
    </w:p>
    <w:p w:rsidR="00000000" w:rsidDel="00000000" w:rsidP="00000000" w:rsidRDefault="00000000" w:rsidRPr="00000000" w14:paraId="0000004C">
      <w:pPr>
        <w:spacing w:after="240" w:before="240" w:lineRule="auto"/>
        <w:rPr/>
      </w:pPr>
      <w:r w:rsidDel="00000000" w:rsidR="00000000" w:rsidRPr="00000000">
        <w:rPr>
          <w:rtl w:val="0"/>
        </w:rPr>
        <w:t xml:space="preserve">National Academies of Sciences, Engineering, and Medicine. 2024b. </w:t>
      </w:r>
      <w:r w:rsidDel="00000000" w:rsidR="00000000" w:rsidRPr="00000000">
        <w:rPr>
          <w:i w:val="1"/>
          <w:iCs w:val="1"/>
          <w:rtl w:val="0"/>
        </w:rPr>
        <w:t xml:space="preserve">Incorporating Environmental Justice and Equity Principles</w:t>
      </w:r>
      <w:r w:rsidDel="00000000" w:rsidR="00000000" w:rsidRPr="00000000">
        <w:rPr>
          <w:rtl w:val="0"/>
        </w:rPr>
        <w:t xml:space="preserve">. ACRP Research Report 265. Washington, DC: The National Academies Press.</w:t>
      </w:r>
    </w:p>
    <w:p w:rsidR="00000000" w:rsidDel="00000000" w:rsidP="00000000" w:rsidRDefault="00000000" w:rsidRPr="00000000" w14:paraId="0000004D">
      <w:pPr>
        <w:spacing w:after="240" w:before="240" w:lineRule="auto"/>
        <w:rPr/>
      </w:pPr>
      <w:r w:rsidDel="00000000" w:rsidR="00000000" w:rsidRPr="00000000">
        <w:rPr>
          <w:rtl w:val="0"/>
        </w:rPr>
        <w:t xml:space="preserve">National Renewable Energy Laboratory (NREL). 2023. </w:t>
      </w:r>
      <w:r w:rsidDel="00000000" w:rsidR="00000000" w:rsidRPr="00000000">
        <w:rPr>
          <w:i w:val="1"/>
          <w:iCs w:val="1"/>
          <w:rtl w:val="0"/>
        </w:rPr>
        <w:t xml:space="preserve">Vertiport Electrical Infrastructure Study</w:t>
      </w:r>
      <w:r w:rsidDel="00000000" w:rsidR="00000000" w:rsidRPr="00000000">
        <w:rPr>
          <w:rtl w:val="0"/>
        </w:rPr>
        <w:t xml:space="preserve">. Golden, CO: National Renewable Energy Laboratory.</w:t>
      </w:r>
    </w:p>
    <w:p w:rsidR="00000000" w:rsidDel="00000000" w:rsidP="00000000" w:rsidRDefault="00000000" w:rsidRPr="00000000" w14:paraId="0000004E">
      <w:pPr>
        <w:spacing w:after="240" w:before="240" w:lineRule="auto"/>
        <w:rPr/>
      </w:pPr>
      <w:r w:rsidDel="00000000" w:rsidR="00000000" w:rsidRPr="00000000">
        <w:rPr>
          <w:rtl w:val="0"/>
        </w:rPr>
        <w:t xml:space="preserve">United States Department of Transportation (USDOT). 2022. </w:t>
      </w:r>
      <w:r w:rsidDel="00000000" w:rsidR="00000000" w:rsidRPr="00000000">
        <w:rPr>
          <w:i w:val="1"/>
          <w:iCs w:val="1"/>
          <w:rtl w:val="0"/>
        </w:rPr>
        <w:t xml:space="preserve">Promising Practices for Meaningful Public Involvement in Transportation Decision-Making</w:t>
      </w:r>
      <w:r w:rsidDel="00000000" w:rsidR="00000000" w:rsidRPr="00000000">
        <w:rPr>
          <w:rtl w:val="0"/>
        </w:rPr>
        <w:t xml:space="preserve">. Washington, DC: U.S. Department of Transportation.</w:t>
      </w:r>
    </w:p>
    <w:p w:rsidR="00000000" w:rsidDel="00000000" w:rsidP="00000000" w:rsidRDefault="00000000" w:rsidRPr="00000000" w14:paraId="0000004F">
      <w:pPr>
        <w:spacing w:after="240" w:before="240" w:lineRule="auto"/>
        <w:rPr/>
      </w:pPr>
      <w:r w:rsidDel="00000000" w:rsidR="00000000" w:rsidRPr="00000000">
        <w:rPr>
          <w:rtl w:val="0"/>
        </w:rPr>
        <w:t xml:space="preserve">United States Department of Transportation. 2025. </w:t>
      </w:r>
      <w:r w:rsidDel="00000000" w:rsidR="00000000" w:rsidRPr="00000000">
        <w:rPr>
          <w:i w:val="1"/>
          <w:iCs w:val="1"/>
          <w:rtl w:val="0"/>
        </w:rPr>
        <w:t xml:space="preserve">Advanced Air Mobility National Strategy</w:t>
      </w:r>
      <w:r w:rsidDel="00000000" w:rsidR="00000000" w:rsidRPr="00000000">
        <w:rPr>
          <w:rtl w:val="0"/>
        </w:rPr>
        <w:t xml:space="preserve">. Washington, DC: U.S. Department of Transportation.</w:t>
      </w:r>
    </w:p>
    <w:p w:rsidR="00000000" w:rsidDel="00000000" w:rsidP="00000000" w:rsidRDefault="00000000" w:rsidRPr="00000000" w14:paraId="00000050">
      <w:pPr>
        <w:spacing w:after="240" w:before="240" w:lineRule="auto"/>
        <w:rPr/>
      </w:pPr>
      <w:r w:rsidDel="00000000" w:rsidR="00000000" w:rsidRPr="00000000">
        <w:rPr>
          <w:rtl w:val="0"/>
        </w:rPr>
        <w:t xml:space="preserve">United States Code of Federal Regulations. 2026. </w:t>
      </w:r>
      <w:r w:rsidDel="00000000" w:rsidR="00000000" w:rsidRPr="00000000">
        <w:rPr>
          <w:i w:val="1"/>
          <w:iCs w:val="1"/>
          <w:rtl w:val="0"/>
        </w:rPr>
        <w:t xml:space="preserve">14 CFR Part 150: Airport Noise Compatibility Planning</w:t>
      </w:r>
      <w:r w:rsidDel="00000000" w:rsidR="00000000" w:rsidRPr="00000000">
        <w:rPr>
          <w:rtl w:val="0"/>
        </w:rPr>
        <w:t xml:space="preserve">.</w:t>
      </w:r>
    </w:p>
    <w:p w:rsidR="00000000" w:rsidDel="00000000" w:rsidP="00000000" w:rsidRDefault="00000000" w:rsidRPr="00000000" w14:paraId="00000051">
      <w:pPr>
        <w:spacing w:after="240" w:before="240" w:lineRule="auto"/>
        <w:rPr/>
      </w:pPr>
      <w:r w:rsidDel="00000000" w:rsidR="00000000" w:rsidRPr="00000000">
        <w:rPr>
          <w:rtl w:val="0"/>
        </w:rPr>
        <w:t xml:space="preserve">United States Code of Federal Regulations. 2026. </w:t>
      </w:r>
      <w:r w:rsidDel="00000000" w:rsidR="00000000" w:rsidRPr="00000000">
        <w:rPr>
          <w:i w:val="1"/>
          <w:iCs w:val="1"/>
          <w:rtl w:val="0"/>
        </w:rPr>
        <w:t xml:space="preserve">14 CFR Part 161: Notice and Approval of Airport Noise and Access Restrictions</w:t>
      </w:r>
      <w:r w:rsidDel="00000000" w:rsidR="00000000" w:rsidRPr="00000000">
        <w:rPr>
          <w:rtl w:val="0"/>
        </w:rPr>
        <w:t xml:space="preserve">.</w:t>
      </w:r>
    </w:p>
    <w:p w:rsidR="00000000" w:rsidDel="00000000" w:rsidP="00000000" w:rsidRDefault="00000000" w:rsidRPr="00000000" w14:paraId="00000052">
      <w:pPr>
        <w:rPr>
          <w:b w:val="1"/>
          <w:bCs w:val="1"/>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tabs>
        <w:tab w:val="right" w:leader="none" w:pos="9360"/>
      </w:tabs>
      <w:ind w:hanging="720"/>
      <w:rPr/>
    </w:pPr>
    <w:r w:rsidDel="00000000" w:rsidR="00000000" w:rsidRPr="00000000">
      <w:rPr>
        <w:color w:val="ffffff"/>
        <w:sz w:val="18"/>
        <w:szCs w:val="18"/>
      </w:rPr>
      <mc:AlternateContent>
        <mc:Choice Requires="wpg">
          <w:drawing>
            <wp:inline distB="114300" distT="114300" distL="114300" distR="114300">
              <wp:extent cx="19050" cy="504825"/>
              <wp:effectExtent b="0" l="0" r="0" t="0"/>
              <wp:docPr id="1" name=""/>
              <a:graphic>
                <a:graphicData uri="http://schemas.microsoft.com/office/word/2010/wordprocessingShape">
                  <wps:wsp>
                    <wps:cNvCnPr/>
                    <wps:spPr>
                      <a:xfrm>
                        <a:off x="782600" y="214200"/>
                        <a:ext cx="0" cy="487200"/>
                      </a:xfrm>
                      <a:prstGeom prst="straightConnector1">
                        <a:avLst/>
                      </a:prstGeom>
                      <a:noFill/>
                      <a:ln cap="flat" cmpd="sng" w="28575">
                        <a:solidFill>
                          <a:srgbClr val="D95C1F"/>
                        </a:solidFill>
                        <a:prstDash val="solid"/>
                        <a:round/>
                        <a:headEnd len="med" w="med" type="none"/>
                        <a:tailEnd len="med" w="med"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19050" cy="504825"/>
              <wp:effectExtent b="0" l="0" r="0" t="0"/>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9050" cy="504825"/>
                      </a:xfrm>
                      <a:prstGeom prst="rect"/>
                      <a:ln/>
                    </pic:spPr>
                  </pic:pic>
                </a:graphicData>
              </a:graphic>
            </wp:inline>
          </w:drawing>
        </mc:Fallback>
      </mc:AlternateContent>
    </w:r>
    <w:r w:rsidDel="00000000" w:rsidR="00000000" w:rsidRPr="00000000">
      <w:rPr>
        <w:color w:val="ffffff"/>
        <w:sz w:val="18"/>
        <w:szCs w:val="18"/>
        <w:rtl w:val="0"/>
      </w:rPr>
      <w:tab/>
      <w:t xml:space="preserve">Environmental and Noise Mitigation Strategies</w:t>
      <w:tab/>
    </w:r>
    <w:r w:rsidDel="00000000" w:rsidR="00000000" w:rsidRPr="00000000">
      <w:rPr>
        <w:color w:val="ffffff"/>
        <w:sz w:val="18"/>
        <w:szCs w:val="18"/>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2" name=""/>
              <a:graphic>
                <a:graphicData uri="http://schemas.microsoft.com/office/word/2010/wordprocessingShape">
                  <wps:wsp>
                    <wps:cNvSpPr/>
                    <wps:cNvPr id="3" name="Shape 3"/>
                    <wps:spPr>
                      <a:xfrm>
                        <a:off x="-171600" y="0"/>
                        <a:ext cx="7791600" cy="671100"/>
                      </a:xfrm>
                      <a:prstGeom prst="rect">
                        <a:avLst/>
                      </a:prstGeom>
                      <a:solidFill>
                        <a:srgbClr val="0C2444"/>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772400" cy="8096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tabs>
        <w:tab w:val="right" w:leader="none" w:pos="9360"/>
      </w:tabs>
      <w:ind w:left="-720" w:firstLine="0"/>
      <w:rPr/>
    </w:pPr>
    <w:r w:rsidDel="00000000" w:rsidR="00000000" w:rsidRPr="00000000">
      <w:rPr>
        <w:b w:val="1"/>
        <w:bCs w:val="1"/>
        <w:color w:val="4e7ab8"/>
        <w:sz w:val="18"/>
        <w:szCs w:val="18"/>
        <w:rtl w:val="0"/>
      </w:rPr>
      <w:t xml:space="preserve">Advanced Air Mobility Toolkit</w:t>
      <w:tab/>
    </w:r>
    <w:r w:rsidDel="00000000" w:rsidR="00000000" w:rsidRPr="00000000">
      <w:rPr>
        <w:rtl w:val="0"/>
      </w:rPr>
    </w:r>
    <w:r w:rsidDel="00000000" w:rsidR="00000000" w:rsidRPr="00000000">
      <w:drawing>
        <wp:anchor allowOverlap="1" behindDoc="1" distB="342900" distT="342900" distL="342900" distR="342900" hidden="0" layoutInCell="1" locked="0" relativeHeight="0" simplePos="0">
          <wp:simplePos x="0" y="0"/>
          <wp:positionH relativeFrom="column">
            <wp:posOffset>5143500</wp:posOffset>
          </wp:positionH>
          <wp:positionV relativeFrom="paragraph">
            <wp:posOffset>-114299</wp:posOffset>
          </wp:positionV>
          <wp:extent cx="1138791" cy="461963"/>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8791" cy="4619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b w:val="1"/>
      <w:bCs w:val="1"/>
      <w:color w:val="0c2444"/>
      <w:sz w:val="24"/>
      <w:szCs w:val="24"/>
    </w:rPr>
  </w:style>
  <w:style w:type="paragraph" w:styleId="Heading2">
    <w:name w:val="heading 2"/>
    <w:basedOn w:val="Normal"/>
    <w:next w:val="Normal"/>
    <w:pPr>
      <w:keepNext w:val="1"/>
      <w:keepLines w:val="1"/>
      <w:spacing w:after="80" w:before="360" w:lineRule="auto"/>
    </w:pPr>
    <w:rPr>
      <w:b w:val="1"/>
      <w:bCs w:val="1"/>
      <w:color w:val="4e7ab8"/>
    </w:rPr>
  </w:style>
  <w:style w:type="paragraph" w:styleId="Heading3">
    <w:name w:val="heading 3"/>
    <w:basedOn w:val="Normal"/>
    <w:next w:val="Normal"/>
    <w:pPr>
      <w:keepNext w:val="1"/>
      <w:keepLines w:val="1"/>
      <w:spacing w:after="80" w:before="360" w:lineRule="auto"/>
    </w:pPr>
    <w:rPr>
      <w:b w:val="1"/>
      <w:bCs w:val="1"/>
      <w:color w:val="e86924"/>
    </w:rPr>
  </w:style>
  <w:style w:type="paragraph" w:styleId="Heading4">
    <w:name w:val="heading 4"/>
    <w:basedOn w:val="Normal"/>
    <w:next w:val="Normal"/>
    <w:pPr>
      <w:keepNext w:val="1"/>
      <w:keepLines w:val="1"/>
    </w:pPr>
    <w:rPr>
      <w:color w:val="1c4587"/>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before="240" w:lineRule="auto"/>
    </w:pPr>
    <w:rPr>
      <w:b w:val="1"/>
      <w:bCs w:val="1"/>
      <w:color w:val="0c2444"/>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